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Nykvarn kommunfullmäktige</w:t>
      </w:r>
    </w:p>
    <w:p>
      <w:pPr>
        <w:pStyle w:val="Heading1"/>
      </w:pPr>
      <w:r>
        <w:t xml:space="preserve">Förenkla tillståndsprocesser för företag i Nykvarn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Nykvarn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Nykvarns företagsklimat rankas 142 av 290 kommuner (Svenskt Näringsliv 2025). Långa handläggningstider för bygglov och serveringstillstånd hämmar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Nykvarn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 ansökningsportal med 10-dagars handläggningsmål.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tillsätta en företagslots som stödjer nya etableringar.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minska avgifterna för bygglov med 20 % för småföretag.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kvartalsvis.</w:t>
      </w:r>
    </w:p>
    <w:p>
      <w:pPr>
        <w:spacing w:before="360"/>
      </w:pPr>
    </w:p>
    <w:p>
      <w:r>
        <w:t xml:space="preserve">Nykvarn,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Nykvarn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2026-07-14T04:45:26.410Z</dcterms:created>
  <dcterms:modified xsi:type="dcterms:W3CDTF">2026-07-14T04:45:26.410Z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